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041E23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PENINJAUAN DAN PENGEMBANGAN KURIKULUM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bertujuan untuk menjelaskan tentang prosedur penyusunan dan peninjauan kurikulum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Kurikulum adalah seperangkat rencana dan pengaturan mengenai tujuan, isi, dan bahan pelajaran serta cara yang digunakan sebagai pedoman penyelenggaraan kegiatan pembelajaran untuk mencapai tujuan tertentu.</w:t>
            </w:r>
          </w:p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Pengembangan Kurikulum dilakukan oleh Program Studi dengan mengacu pada standar nasional pendidikan untuk mewujudkan tujuan pendidikan nasional.</w:t>
            </w:r>
          </w:p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Pengembangan Kurikulum dilaksanakan </w:t>
            </w:r>
            <w:r w:rsidR="009562F3">
              <w:rPr>
                <w:rFonts w:ascii="Arial" w:hAnsi="Arial"/>
                <w:sz w:val="20"/>
                <w:szCs w:val="20"/>
              </w:rPr>
              <w:t xml:space="preserve">maksimal </w:t>
            </w:r>
            <w:r>
              <w:rPr>
                <w:rFonts w:ascii="Arial" w:hAnsi="Arial"/>
                <w:sz w:val="20"/>
                <w:szCs w:val="20"/>
              </w:rPr>
              <w:t xml:space="preserve">5 tahun sekali.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9562F3" w:rsidP="009562F3">
            <w:pPr>
              <w:numPr>
                <w:ilvl w:val="0"/>
                <w:numId w:val="45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Kepala Program Studi (KaProdi) </w:t>
            </w:r>
            <w:r w:rsidR="00711426">
              <w:rPr>
                <w:rFonts w:ascii="Arial" w:hAnsi="Arial"/>
                <w:sz w:val="20"/>
                <w:szCs w:val="20"/>
              </w:rPr>
              <w:t>Magister</w:t>
            </w:r>
          </w:p>
          <w:p w:rsidR="000A43D4" w:rsidRDefault="000A43D4" w:rsidP="009562F3">
            <w:pPr>
              <w:numPr>
                <w:ilvl w:val="0"/>
                <w:numId w:val="45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  <w:p w:rsidR="000A43D4" w:rsidRPr="000A43D4" w:rsidRDefault="000A43D4" w:rsidP="009562F3">
            <w:pPr>
              <w:numPr>
                <w:ilvl w:val="0"/>
                <w:numId w:val="45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  <w:r w:rsidR="00480FCA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Rektor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9562F3">
            <w:pPr>
              <w:numPr>
                <w:ilvl w:val="3"/>
                <w:numId w:val="44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Pembentukan Tim Kurikulum</w:t>
            </w:r>
          </w:p>
          <w:p w:rsidR="003710A2" w:rsidRDefault="009562F3" w:rsidP="009562F3">
            <w:pPr>
              <w:numPr>
                <w:ilvl w:val="3"/>
                <w:numId w:val="44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Peninjauan dan </w:t>
            </w:r>
            <w:r w:rsidR="003710A2">
              <w:rPr>
                <w:rFonts w:ascii="Arial" w:hAnsi="Arial"/>
                <w:sz w:val="20"/>
                <w:szCs w:val="20"/>
              </w:rPr>
              <w:t>Pengembangan (</w:t>
            </w:r>
            <w:r>
              <w:rPr>
                <w:rFonts w:ascii="Arial" w:hAnsi="Arial"/>
                <w:sz w:val="20"/>
                <w:szCs w:val="20"/>
              </w:rPr>
              <w:t>Evaluasi</w:t>
            </w:r>
            <w:r w:rsidR="003710A2">
              <w:rPr>
                <w:rFonts w:ascii="Arial" w:hAnsi="Arial"/>
                <w:sz w:val="20"/>
                <w:szCs w:val="20"/>
              </w:rPr>
              <w:t xml:space="preserve">, Monitoring, dan </w:t>
            </w:r>
            <w:r>
              <w:rPr>
                <w:rFonts w:ascii="Arial" w:hAnsi="Arial"/>
                <w:sz w:val="20"/>
                <w:szCs w:val="20"/>
              </w:rPr>
              <w:t>Penyusunan</w:t>
            </w:r>
            <w:r w:rsidR="003710A2">
              <w:rPr>
                <w:rFonts w:ascii="Arial" w:hAnsi="Arial"/>
                <w:sz w:val="20"/>
                <w:szCs w:val="20"/>
              </w:rPr>
              <w:t xml:space="preserve">) Kurikulum </w:t>
            </w:r>
          </w:p>
          <w:p w:rsidR="000A43D4" w:rsidRPr="000A43D4" w:rsidRDefault="000A43D4" w:rsidP="009562F3">
            <w:pPr>
              <w:numPr>
                <w:ilvl w:val="3"/>
                <w:numId w:val="44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 w:rsidP="009562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 Tim Kurikulum, Notulen-notulen Rapat, Draf Kurikulum, Surat Keputusan Penetapan Kurikulum, Notulen Sosialisasi Kurikulum.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710A2" w:rsidRDefault="003710A2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368"/>
        <w:gridCol w:w="1815"/>
        <w:gridCol w:w="1926"/>
        <w:gridCol w:w="1819"/>
      </w:tblGrid>
      <w:tr w:rsidR="00FE1BF4" w:rsidTr="009562F3">
        <w:trPr>
          <w:trHeight w:val="44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Pembentukan Tim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 menunjuk beberapa dosen untuk menjadi Tim Kurikulum dengan salah satunya sebagai Ketua Tim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9562F3" w:rsidP="009562F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Rapat</w:t>
            </w:r>
          </w:p>
          <w:p w:rsidR="009562F3" w:rsidRPr="009562F3" w:rsidRDefault="009562F3" w:rsidP="009562F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Pengajuan Tugas Tim Kurikulum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dibentuk minimal 1 tahun sebelum masa berlaku kurikulum berakhir.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mendapatkan Surat Tugas dari Dekan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</w:t>
            </w:r>
          </w:p>
        </w:tc>
      </w:tr>
      <w:tr w:rsidR="003710A2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3710A2" w:rsidRDefault="009562F3" w:rsidP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Peninjauan dan </w:t>
            </w:r>
            <w:r w:rsidR="003710A2">
              <w:rPr>
                <w:rFonts w:ascii="Arial" w:hAnsi="Arial"/>
                <w:b/>
                <w:sz w:val="20"/>
                <w:szCs w:val="20"/>
              </w:rPr>
              <w:t>Pengembangan (</w:t>
            </w:r>
            <w:r>
              <w:rPr>
                <w:rFonts w:ascii="Arial" w:hAnsi="Arial"/>
                <w:b/>
                <w:sz w:val="20"/>
                <w:szCs w:val="20"/>
              </w:rPr>
              <w:t>Evaluasi</w:t>
            </w:r>
            <w:r w:rsidR="003710A2">
              <w:rPr>
                <w:rFonts w:ascii="Arial" w:hAnsi="Arial"/>
                <w:b/>
                <w:sz w:val="20"/>
                <w:szCs w:val="20"/>
              </w:rPr>
              <w:t xml:space="preserve">, Monitoring, dan </w:t>
            </w:r>
            <w:r>
              <w:rPr>
                <w:rFonts w:ascii="Arial" w:hAnsi="Arial"/>
                <w:b/>
                <w:sz w:val="20"/>
                <w:szCs w:val="20"/>
              </w:rPr>
              <w:t>Penyusunan</w:t>
            </w:r>
            <w:r w:rsidR="003710A2">
              <w:rPr>
                <w:rFonts w:ascii="Arial" w:hAnsi="Arial"/>
                <w:b/>
                <w:sz w:val="20"/>
                <w:szCs w:val="20"/>
              </w:rPr>
              <w:t>)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 w:rsidP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Evaluasi/Peninjauan Kurikulum dilakukan dengan memperhatikan berbagai masukan dari dosen pengampu mata</w:t>
            </w:r>
            <w:r w:rsidR="009562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kuliah (melalui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MK), alumni, dan </w:t>
            </w:r>
            <w:r>
              <w:rPr>
                <w:rFonts w:ascii="Arial" w:hAnsi="Arial"/>
                <w:i/>
                <w:sz w:val="20"/>
                <w:szCs w:val="20"/>
              </w:rPr>
              <w:t>st</w:t>
            </w:r>
            <w:r w:rsidR="009562F3">
              <w:rPr>
                <w:rFonts w:ascii="Arial" w:hAnsi="Arial"/>
                <w:i/>
                <w:sz w:val="20"/>
                <w:szCs w:val="20"/>
              </w:rPr>
              <w:t>a</w:t>
            </w:r>
            <w:r>
              <w:rPr>
                <w:rFonts w:ascii="Arial" w:hAnsi="Arial"/>
                <w:i/>
                <w:sz w:val="20"/>
                <w:szCs w:val="20"/>
              </w:rPr>
              <w:t>keholder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Ketua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3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Rapat/Lokakarya;</w:t>
            </w:r>
          </w:p>
          <w:p w:rsidR="00FE1BF4" w:rsidRDefault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Portofolio Mata Kuliah</w:t>
            </w:r>
            <w:r w:rsidR="00FE1BF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Profil Lulusan dan Capaian Pembelajaran memperhatikan :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Konsorsium prodi sejenis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Stokeholder</w:t>
            </w:r>
            <w:r>
              <w:rPr>
                <w:rFonts w:ascii="Arial" w:hAnsi="Arial"/>
                <w:sz w:val="20"/>
                <w:szCs w:val="20"/>
              </w:rPr>
              <w:t xml:space="preserve"> (pemerintah &amp; swasta)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FE1BF4" w:rsidRDefault="00FE1BF4">
            <w:pPr>
              <w:tabs>
                <w:tab w:val="left" w:pos="360"/>
              </w:tabs>
              <w:spacing w:before="40" w:after="40"/>
              <w:ind w:left="-8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profil lulusan dapat dilakukan melalui lokakarya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Ketua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Rapat/Lokakarya; hasil </w:t>
            </w:r>
            <w:r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Penyusunan draft finalisasi pemutakhiran kurikulum yang isinya meliputi : penetapan profil lulusan, </w:t>
            </w:r>
            <w:r>
              <w:rPr>
                <w:rFonts w:ascii="Arial" w:hAnsi="Arial"/>
                <w:sz w:val="20"/>
                <w:szCs w:val="20"/>
              </w:rPr>
              <w:t>capaian pembelajaran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, bahan kajian untuk mencapai kompetensi yang diinginkan, </w:t>
            </w:r>
            <w:r>
              <w:rPr>
                <w:rFonts w:ascii="Arial" w:hAnsi="Arial"/>
                <w:sz w:val="20"/>
                <w:szCs w:val="20"/>
              </w:rPr>
              <w:t>mata</w:t>
            </w:r>
            <w:r w:rsidR="009562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kuliah dan sks, </w:t>
            </w:r>
            <w:r>
              <w:rPr>
                <w:rFonts w:ascii="Arial" w:hAnsi="Arial"/>
                <w:sz w:val="20"/>
                <w:szCs w:val="20"/>
                <w:lang w:val="pt-BR"/>
              </w:rPr>
              <w:t>distribusi mata kuliah ke dalam semester, penetapan deskripsi mata kuliah, silabus mata kuliah dan RPP.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9562F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 w:rsidR="00FE1BF4"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Notulen-notulen rapat</w:t>
            </w:r>
          </w:p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Draft kurikulum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Tim Kurikulum menyusun aturan peralihan sebagai akibat perubahan Kurikulum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 w:rsidP="009562F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Pelaporan draft kurikulum kepada </w:t>
            </w:r>
            <w:r w:rsidR="009562F3">
              <w:rPr>
                <w:rFonts w:ascii="Arial" w:hAnsi="Arial"/>
                <w:sz w:val="20"/>
                <w:szCs w:val="20"/>
              </w:rPr>
              <w:t>Kaprodi</w:t>
            </w:r>
            <w:r w:rsidR="009562F3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pt-BR"/>
              </w:rPr>
              <w:t>untuk mendapatkan persetujuan di tingkat prodi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 w:rsidP="009562F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Pelaporan hasil pemutakhiran kurikulum di tingkat </w:t>
            </w:r>
            <w:r w:rsidR="009562F3">
              <w:rPr>
                <w:rFonts w:ascii="Arial" w:hAnsi="Arial"/>
                <w:sz w:val="20"/>
                <w:szCs w:val="20"/>
              </w:rPr>
              <w:t>prodi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dan fakultas untuk mendapatkan pengesahan Dekan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Draft kurikulum baru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Pr="009562F3" w:rsidRDefault="00FE1BF4" w:rsidP="009562F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Pengesahan kurikulum baru oleh </w:t>
            </w:r>
            <w:r w:rsidR="009562F3">
              <w:rPr>
                <w:rFonts w:ascii="Arial" w:hAnsi="Arial"/>
                <w:sz w:val="20"/>
                <w:szCs w:val="20"/>
              </w:rPr>
              <w:t>Rektor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Rektor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Rektor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SK Rektor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Pemberlakuan kurikulum baru sesuai aturan yang berlaku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Prodi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3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Sosialisasi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 dan aturan perubahannya dilakukan ke seluruh mahasiswa</w:t>
            </w:r>
            <w:r w:rsidR="009562F3">
              <w:rPr>
                <w:rFonts w:ascii="Arial" w:hAnsi="Arial"/>
                <w:sz w:val="20"/>
                <w:szCs w:val="20"/>
              </w:rPr>
              <w:t>, dosen, dan tenaga kependidikan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Sosialisasi</w:t>
            </w:r>
          </w:p>
          <w:p w:rsidR="009562F3" w:rsidRDefault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 Sosialisasi</w:t>
            </w:r>
          </w:p>
          <w:p w:rsidR="009562F3" w:rsidRDefault="009562F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818"/>
        <w:gridCol w:w="2126"/>
        <w:gridCol w:w="1843"/>
        <w:gridCol w:w="1701"/>
        <w:gridCol w:w="2126"/>
      </w:tblGrid>
      <w:tr w:rsidR="00480FCA" w:rsidTr="00480FCA">
        <w:trPr>
          <w:trHeight w:val="4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Tim Kurikulum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Kepala Prodi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Dekan/Rektor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480FCA" w:rsidTr="00480FCA">
        <w:trPr>
          <w:trHeight w:val="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Penetapan Tim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Tim Kurikulum dengan Surat Tugas Dekan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70.15pt;margin-top:24.5pt;width:142.95pt;height:.85pt;flip:x;z-index:16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2" type="#_x0000_t32" style="position:absolute;margin-left:47.8pt;margin-top:28.4pt;width:0;height:47.15pt;z-index:1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1" style="position:absolute;margin-left:20.3pt;margin-top:9.65pt;width:51pt;height:16.5pt;z-index:10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52" type="#_x0000_t32" style="position:absolute;margin-left:70.15pt;margin-top:12.05pt;width:51.7pt;height:.05pt;flip:x;z-index:11;mso-position-horizontal-relative:text;mso-position-vertical-relative:text" o:connectortype="straight" strokecolor="#c00000" strokeweight="1pt">
                  <v:stroke endarrow="classic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oval id="_x0000_s1046" style="position:absolute;margin-left:16.25pt;margin-top:1.75pt;width:55.9pt;height:17.95pt;z-index:5;mso-position-horizontal-relative:text;mso-position-vertical-relative:text" fillcolor="#548dd4">
                  <v:textbox style="mso-next-textbox:#_x0000_s1046">
                    <w:txbxContent>
                      <w:p w:rsidR="00480FCA" w:rsidRDefault="00480FCA" w:rsidP="00480F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6" style="position:absolute;margin-left:15.4pt;margin-top:11.9pt;width:51pt;height:16.5pt;z-index:15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D" w:rsidRDefault="0050025D" w:rsidP="0050025D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Rapat</w:t>
            </w:r>
          </w:p>
          <w:p w:rsidR="0050025D" w:rsidRDefault="0050025D" w:rsidP="0050025D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Pengajuan Tugas Tim Kurikulum</w:t>
            </w:r>
          </w:p>
          <w:p w:rsidR="00480FCA" w:rsidRDefault="00480FCA" w:rsidP="0050025D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Tugas</w:t>
            </w:r>
          </w:p>
        </w:tc>
      </w:tr>
      <w:tr w:rsidR="003710A2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Penyusunan, Monitoring, dan Evaluasi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Default="003710A2" w:rsidP="003710A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Default="003710A2" w:rsidP="003710A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Default="003710A2" w:rsidP="003710A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2" w:rsidRDefault="003710A2" w:rsidP="003710A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draft finalisasi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4" type="#_x0000_t32" style="position:absolute;margin-left:57.8pt;margin-top:14.2pt;width:67.2pt;height:0;z-index:3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48" style="position:absolute;margin-left:20.3pt;margin-top:3.9pt;width:51pt;height:16.5pt;z-index:7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3" type="#_x0000_t32" style="position:absolute;margin-left:46.75pt;margin-top:23.1pt;width:0;height:24.05pt;z-index:2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3" style="position:absolute;margin-left:18.7pt;margin-top:6.25pt;width:51pt;height:16.5pt;z-index:12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Rapat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 Kurikulum Baru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Pengesahan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54" type="#_x0000_t32" style="position:absolute;margin-left:48.05pt;margin-top:14.85pt;width:56.4pt;height:.6pt;flip:y;z-index:13;mso-position-horizontal-relative:text;mso-position-vertical-relative:text" o:connectortype="straight" strokecolor="#c00000" strokeweight="1pt">
                  <v:stroke endarrow="classic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5" style="position:absolute;margin-left:13.45pt;margin-top:6.7pt;width:51pt;height:16.5pt;z-index:14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Keputusan Penetapan Kurikulum</w:t>
            </w:r>
          </w:p>
        </w:tc>
      </w:tr>
      <w:tr w:rsidR="00480FCA" w:rsidTr="00480FCA">
        <w:trPr>
          <w:trHeight w:val="4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Sosialisasi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7" type="#_x0000_t32" style="position:absolute;margin-left:41.8pt;margin-top:21.6pt;width:0;height:15.85pt;z-index:6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49" style="position:absolute;margin-left:18.7pt;margin-top:4.4pt;width:51pt;height:16.5pt;z-index:8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rPr>
          <w:trHeight w:val="4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 ke seluruh civitas akademik prodi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635486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5" type="#_x0000_t32" style="position:absolute;margin-left:80.1pt;margin-top:13.5pt;width:67.2pt;height:.05pt;flip:x;z-index:4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0" style="position:absolute;margin-left:28.5pt;margin-top:3.75pt;width:51pt;height:16.5pt;z-index:9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Sosialisasi</w:t>
            </w:r>
          </w:p>
          <w:p w:rsidR="00E320F7" w:rsidRDefault="00E320F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Materi sosialisasi</w: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1B" w:rsidRDefault="005C6B1B">
      <w:r>
        <w:separator/>
      </w:r>
    </w:p>
  </w:endnote>
  <w:endnote w:type="continuationSeparator" w:id="0">
    <w:p w:rsidR="005C6B1B" w:rsidRDefault="005C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F50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1B" w:rsidRDefault="005C6B1B">
      <w:r>
        <w:separator/>
      </w:r>
    </w:p>
  </w:footnote>
  <w:footnote w:type="continuationSeparator" w:id="0">
    <w:p w:rsidR="005C6B1B" w:rsidRDefault="005C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2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44"/>
  </w:num>
  <w:num w:numId="4">
    <w:abstractNumId w:val="24"/>
  </w:num>
  <w:num w:numId="5">
    <w:abstractNumId w:val="10"/>
  </w:num>
  <w:num w:numId="6">
    <w:abstractNumId w:val="45"/>
  </w:num>
  <w:num w:numId="7">
    <w:abstractNumId w:val="42"/>
  </w:num>
  <w:num w:numId="8">
    <w:abstractNumId w:val="29"/>
  </w:num>
  <w:num w:numId="9">
    <w:abstractNumId w:val="30"/>
  </w:num>
  <w:num w:numId="10">
    <w:abstractNumId w:val="40"/>
  </w:num>
  <w:num w:numId="11">
    <w:abstractNumId w:val="41"/>
  </w:num>
  <w:num w:numId="12">
    <w:abstractNumId w:val="31"/>
  </w:num>
  <w:num w:numId="13">
    <w:abstractNumId w:val="32"/>
  </w:num>
  <w:num w:numId="14">
    <w:abstractNumId w:val="36"/>
  </w:num>
  <w:num w:numId="15">
    <w:abstractNumId w:val="16"/>
  </w:num>
  <w:num w:numId="16">
    <w:abstractNumId w:val="17"/>
  </w:num>
  <w:num w:numId="17">
    <w:abstractNumId w:val="38"/>
  </w:num>
  <w:num w:numId="18">
    <w:abstractNumId w:val="37"/>
  </w:num>
  <w:num w:numId="19">
    <w:abstractNumId w:val="28"/>
  </w:num>
  <w:num w:numId="20">
    <w:abstractNumId w:val="19"/>
  </w:num>
  <w:num w:numId="21">
    <w:abstractNumId w:val="33"/>
  </w:num>
  <w:num w:numId="22">
    <w:abstractNumId w:val="39"/>
  </w:num>
  <w:num w:numId="23">
    <w:abstractNumId w:val="12"/>
  </w:num>
  <w:num w:numId="24">
    <w:abstractNumId w:val="15"/>
  </w:num>
  <w:num w:numId="25">
    <w:abstractNumId w:val="20"/>
  </w:num>
  <w:num w:numId="26">
    <w:abstractNumId w:val="35"/>
  </w:num>
  <w:num w:numId="27">
    <w:abstractNumId w:val="43"/>
  </w:num>
  <w:num w:numId="28">
    <w:abstractNumId w:val="13"/>
  </w:num>
  <w:num w:numId="29">
    <w:abstractNumId w:val="11"/>
  </w:num>
  <w:num w:numId="30">
    <w:abstractNumId w:val="18"/>
  </w:num>
  <w:num w:numId="31">
    <w:abstractNumId w:val="34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7360F"/>
    <w:rsid w:val="000852EA"/>
    <w:rsid w:val="00090016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764D"/>
    <w:rsid w:val="003710A2"/>
    <w:rsid w:val="003763C4"/>
    <w:rsid w:val="003B6ED0"/>
    <w:rsid w:val="003C4539"/>
    <w:rsid w:val="003D4AFF"/>
    <w:rsid w:val="00402112"/>
    <w:rsid w:val="00432132"/>
    <w:rsid w:val="0044102B"/>
    <w:rsid w:val="00444EC3"/>
    <w:rsid w:val="00451A33"/>
    <w:rsid w:val="00460A41"/>
    <w:rsid w:val="0047539C"/>
    <w:rsid w:val="00480FCA"/>
    <w:rsid w:val="00486B11"/>
    <w:rsid w:val="004D0004"/>
    <w:rsid w:val="0050025D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5C6B1B"/>
    <w:rsid w:val="006027A1"/>
    <w:rsid w:val="00606AB4"/>
    <w:rsid w:val="0061358D"/>
    <w:rsid w:val="0061745F"/>
    <w:rsid w:val="00635486"/>
    <w:rsid w:val="00642ED7"/>
    <w:rsid w:val="00650019"/>
    <w:rsid w:val="00653497"/>
    <w:rsid w:val="00654D9A"/>
    <w:rsid w:val="00656C47"/>
    <w:rsid w:val="00671D83"/>
    <w:rsid w:val="00673769"/>
    <w:rsid w:val="00686ADE"/>
    <w:rsid w:val="00692F50"/>
    <w:rsid w:val="006A1CE2"/>
    <w:rsid w:val="006A6080"/>
    <w:rsid w:val="006B6A3B"/>
    <w:rsid w:val="006E2400"/>
    <w:rsid w:val="00711426"/>
    <w:rsid w:val="0072178D"/>
    <w:rsid w:val="007270E2"/>
    <w:rsid w:val="007344CF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562F3"/>
    <w:rsid w:val="009665CE"/>
    <w:rsid w:val="00976217"/>
    <w:rsid w:val="00976B4D"/>
    <w:rsid w:val="00983A29"/>
    <w:rsid w:val="00992541"/>
    <w:rsid w:val="009C1D79"/>
    <w:rsid w:val="009E2CA5"/>
    <w:rsid w:val="009F5485"/>
    <w:rsid w:val="00A274A6"/>
    <w:rsid w:val="00A323BC"/>
    <w:rsid w:val="00A330C6"/>
    <w:rsid w:val="00A33229"/>
    <w:rsid w:val="00A35019"/>
    <w:rsid w:val="00A42583"/>
    <w:rsid w:val="00A601C1"/>
    <w:rsid w:val="00A75A00"/>
    <w:rsid w:val="00A8130A"/>
    <w:rsid w:val="00A84356"/>
    <w:rsid w:val="00AC540D"/>
    <w:rsid w:val="00B443E6"/>
    <w:rsid w:val="00B54B00"/>
    <w:rsid w:val="00BC5AA8"/>
    <w:rsid w:val="00BE00AC"/>
    <w:rsid w:val="00BE1FE8"/>
    <w:rsid w:val="00BF52EA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318F2"/>
    <w:rsid w:val="00E320F7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7"/>
        <o:r id="V:Rule5" type="connector" idref="#_x0000_s1045"/>
        <o:r id="V:Rule6" type="connector" idref="#_x0000_s1054"/>
        <o:r id="V:Rule7" type="connector" idref="#_x0000_s1052"/>
        <o:r id="V:Rule8" type="connector" idref="#_x0000_s1057"/>
      </o:rules>
    </o:shapelayout>
  </w:shapeDefaults>
  <w:decimalSymbol w:val="."/>
  <w:listSeparator w:val=","/>
  <w15:chartTrackingRefBased/>
  <w15:docId w15:val="{3E678443-6351-4154-9A73-9EA5A368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dc:description/>
  <cp:lastModifiedBy>ADRIAN</cp:lastModifiedBy>
  <cp:revision>2</cp:revision>
  <cp:lastPrinted>2017-06-10T13:05:00Z</cp:lastPrinted>
  <dcterms:created xsi:type="dcterms:W3CDTF">2018-05-23T06:11:00Z</dcterms:created>
  <dcterms:modified xsi:type="dcterms:W3CDTF">2018-05-23T07:00:00Z</dcterms:modified>
</cp:coreProperties>
</file>